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40" w:lineRule="exact"/>
        <w:rPr>
          <w:rFonts w:ascii="黑体" w:hAnsi="黑体" w:eastAsia="黑体" w:cs="仿宋_GB2312"/>
          <w:bCs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</w:rPr>
        <w:t>附件5</w:t>
      </w:r>
    </w:p>
    <w:p>
      <w:pPr>
        <w:ind w:right="482"/>
        <w:jc w:val="center"/>
        <w:rPr>
          <w:rFonts w:hint="eastAsia" w:ascii="方正小标宋简体" w:hAnsi="华文中宋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32"/>
          <w:szCs w:val="32"/>
          <w:lang w:val="en-US" w:eastAsia="zh-CN"/>
        </w:rPr>
        <w:t>招标代理</w:t>
      </w:r>
      <w:r>
        <w:rPr>
          <w:rFonts w:hint="eastAsia" w:ascii="方正小标宋简体" w:hAnsi="仿宋_GB2312" w:eastAsia="方正小标宋简体" w:cs="仿宋_GB2312"/>
          <w:sz w:val="32"/>
          <w:szCs w:val="32"/>
        </w:rPr>
        <w:t>服务报价参考方案</w:t>
      </w:r>
    </w:p>
    <w:p>
      <w:pPr>
        <w:spacing w:before="34" w:line="359" w:lineRule="auto"/>
        <w:ind w:left="200" w:right="182" w:firstLine="569"/>
        <w:jc w:val="both"/>
        <w:rPr>
          <w:rFonts w:ascii="仿宋" w:hAnsi="仿宋" w:eastAsia="仿宋" w:cs="仿宋"/>
          <w:spacing w:val="-5"/>
          <w:sz w:val="28"/>
          <w:szCs w:val="28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atLeast"/>
        <w:ind w:left="198" w:right="181" w:firstLine="567"/>
        <w:jc w:val="both"/>
        <w:textAlignment w:val="baseline"/>
        <w:rPr>
          <w:rFonts w:ascii="仿宋" w:hAnsi="仿宋" w:eastAsia="仿宋" w:cs="仿宋"/>
          <w:spacing w:val="-3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>重要提示：</w:t>
      </w:r>
      <w:r>
        <w:rPr>
          <w:rFonts w:ascii="仿宋" w:hAnsi="仿宋" w:eastAsia="仿宋" w:cs="仿宋"/>
          <w:spacing w:val="-5"/>
          <w:sz w:val="28"/>
          <w:szCs w:val="28"/>
        </w:rPr>
        <w:t>招标代理服务收费标准最高限价参照《招标代理服务收费管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理暂行办法》（计价格[2002]198</w:t>
      </w:r>
      <w:r>
        <w:rPr>
          <w:rFonts w:ascii="仿宋" w:hAnsi="仿宋" w:eastAsia="仿宋" w:cs="仿宋"/>
          <w:spacing w:val="-2"/>
          <w:sz w:val="28"/>
          <w:szCs w:val="28"/>
        </w:rPr>
        <w:t>0号）和《关于降低部分建设项目收费标准</w:t>
      </w:r>
      <w:r>
        <w:rPr>
          <w:rFonts w:ascii="仿宋" w:hAnsi="仿宋" w:eastAsia="仿宋" w:cs="仿宋"/>
          <w:spacing w:val="-3"/>
          <w:sz w:val="28"/>
          <w:szCs w:val="28"/>
        </w:rPr>
        <w:t>规范收费行为等有关问题的通知》（发改价格[2011]534</w:t>
      </w:r>
      <w:r>
        <w:rPr>
          <w:rFonts w:ascii="仿宋" w:hAnsi="仿宋" w:eastAsia="仿宋" w:cs="仿宋"/>
          <w:spacing w:val="-4"/>
          <w:sz w:val="28"/>
          <w:szCs w:val="28"/>
        </w:rPr>
        <w:t>号</w:t>
      </w:r>
      <w:r>
        <w:rPr>
          <w:rFonts w:ascii="仿宋" w:hAnsi="仿宋" w:eastAsia="仿宋" w:cs="仿宋"/>
          <w:spacing w:val="-37"/>
          <w:sz w:val="28"/>
          <w:szCs w:val="28"/>
        </w:rPr>
        <w:t>），</w:t>
      </w:r>
      <w:r>
        <w:rPr>
          <w:rFonts w:ascii="仿宋" w:hAnsi="仿宋" w:eastAsia="仿宋" w:cs="仿宋"/>
          <w:spacing w:val="-4"/>
          <w:sz w:val="28"/>
          <w:szCs w:val="28"/>
        </w:rPr>
        <w:t>招标代理服务收费按差额定率累进法计算。报价折扣率必须为整数</w:t>
      </w:r>
      <w:r>
        <w:rPr>
          <w:rFonts w:ascii="仿宋" w:hAnsi="仿宋" w:eastAsia="仿宋" w:cs="仿宋"/>
          <w:spacing w:val="-5"/>
          <w:sz w:val="28"/>
          <w:szCs w:val="28"/>
        </w:rPr>
        <w:t>，如85%，80%。报价</w:t>
      </w:r>
      <w:r>
        <w:rPr>
          <w:rFonts w:ascii="仿宋" w:hAnsi="仿宋" w:eastAsia="仿宋" w:cs="仿宋"/>
          <w:spacing w:val="-3"/>
          <w:sz w:val="28"/>
          <w:szCs w:val="28"/>
        </w:rPr>
        <w:t>必须低于最高限价。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atLeast"/>
        <w:ind w:left="198" w:right="181" w:firstLine="567"/>
        <w:jc w:val="both"/>
        <w:textAlignment w:val="baseline"/>
        <w:rPr>
          <w:rFonts w:ascii="仿宋" w:hAnsi="仿宋" w:eastAsia="仿宋" w:cs="仿宋"/>
          <w:spacing w:val="-3"/>
          <w:sz w:val="28"/>
          <w:szCs w:val="28"/>
        </w:rPr>
      </w:pPr>
    </w:p>
    <w:p>
      <w:pPr>
        <w:spacing w:line="171" w:lineRule="exact"/>
      </w:pPr>
    </w:p>
    <w:tbl>
      <w:tblPr>
        <w:tblStyle w:val="6"/>
        <w:tblW w:w="88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8"/>
        <w:gridCol w:w="1545"/>
        <w:gridCol w:w="1425"/>
        <w:gridCol w:w="1470"/>
        <w:gridCol w:w="198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7" w:hRule="atLeast"/>
        </w:trPr>
        <w:tc>
          <w:tcPr>
            <w:tcW w:w="2418" w:type="dxa"/>
            <w:vAlign w:val="top"/>
          </w:tcPr>
          <w:p>
            <w:pPr>
              <w:spacing w:before="39" w:line="1532" w:lineRule="exact"/>
            </w:pPr>
            <w:r>
              <w:rPr>
                <w:position w:val="-30"/>
              </w:rPr>
              <w:pict>
                <v:group id="_x0000_s1030" o:spid="_x0000_s1030" o:spt="203" style="height:76.65pt;width:119.8pt;" coordsize="2396,1533">
                  <o:lock v:ext="edit"/>
                  <v:shape id="_x0000_s1031" o:spid="_x0000_s1031" style="position:absolute;left:0;top:0;height:1533;width:2396;" filled="f" stroked="t" coordsize="2396,1533" path="m4,1032l2394,1525m4,6l2332,1497e">
                    <v:fill on="f" focussize="0,0"/>
                    <v:stroke color="#000000" miterlimit="10"/>
                    <v:imagedata o:title=""/>
                    <o:lock v:ext="edit"/>
                  </v:shape>
                  <v:shape id="_x0000_s1032" o:spid="_x0000_s1032" o:spt="202" type="#_x0000_t202" style="position:absolute;left:-20;top:-20;height:1573;width:2436;" filled="f" stroked="f" coordsize="21600,21600">
                    <v:path/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4" w:line="219" w:lineRule="auto"/>
                            <w:ind w:left="973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pacing w:val="-4"/>
                              <w:sz w:val="28"/>
                              <w:szCs w:val="28"/>
                              <w14:textOutline w14:w="5094" w14:cap="flat" w14:cmpd="sng">
                                <w14:solidFill>
                                  <w14:srgbClr w14:val="000000"/>
                                </w14:solidFill>
                                <w14:prstDash w14:val="solid"/>
                                <w14:miter w14:val="0"/>
                              </w14:textOutline>
                            </w:rPr>
                            <w:t>服务类型</w:t>
                          </w:r>
                        </w:p>
                        <w:p>
                          <w:pPr>
                            <w:spacing w:before="168" w:line="219" w:lineRule="auto"/>
                            <w:ind w:left="292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pacing w:val="-7"/>
                              <w:sz w:val="28"/>
                              <w:szCs w:val="28"/>
                              <w14:textOutline w14:w="5094" w14:cap="flat" w14:cmpd="sng">
                                <w14:solidFill>
                                  <w14:srgbClr w14:val="000000"/>
                                </w14:solidFill>
                                <w14:prstDash w14:val="solid"/>
                                <w14:miter w14:val="0"/>
                              </w14:textOutline>
                            </w:rPr>
                            <w:t>费率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  <w:p>
            <w:pPr>
              <w:spacing w:before="92" w:line="219" w:lineRule="auto"/>
              <w:ind w:left="16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中标金额（万元）</w:t>
            </w:r>
          </w:p>
        </w:tc>
        <w:tc>
          <w:tcPr>
            <w:tcW w:w="154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91" w:line="217" w:lineRule="auto"/>
              <w:ind w:firstLine="270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货物招标</w:t>
            </w:r>
          </w:p>
        </w:tc>
        <w:tc>
          <w:tcPr>
            <w:tcW w:w="142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firstLine="272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服务招标</w:t>
            </w:r>
          </w:p>
        </w:tc>
        <w:tc>
          <w:tcPr>
            <w:tcW w:w="147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91" w:line="219" w:lineRule="auto"/>
              <w:ind w:firstLine="270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工程招标</w:t>
            </w:r>
          </w:p>
        </w:tc>
        <w:tc>
          <w:tcPr>
            <w:tcW w:w="198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91" w:line="503" w:lineRule="exact"/>
              <w:ind w:firstLine="274" w:firstLine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position w:val="16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报价折扣率</w:t>
            </w:r>
          </w:p>
          <w:p>
            <w:pPr>
              <w:spacing w:line="219" w:lineRule="auto"/>
              <w:ind w:right="9"/>
              <w:jc w:val="both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（必须为整数）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418" w:type="dxa"/>
            <w:vAlign w:val="top"/>
          </w:tcPr>
          <w:p>
            <w:pPr>
              <w:spacing w:before="160" w:line="219" w:lineRule="auto"/>
              <w:ind w:left="3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100以下</w:t>
            </w:r>
          </w:p>
        </w:tc>
        <w:tc>
          <w:tcPr>
            <w:tcW w:w="1545" w:type="dxa"/>
            <w:vAlign w:val="top"/>
          </w:tcPr>
          <w:p>
            <w:pPr>
              <w:pStyle w:val="7"/>
              <w:spacing w:before="180" w:line="182" w:lineRule="auto"/>
              <w:jc w:val="center"/>
            </w:pPr>
            <w:r>
              <w:rPr>
                <w:spacing w:val="-6"/>
              </w:rPr>
              <w:t>1.5%</w:t>
            </w:r>
          </w:p>
        </w:tc>
        <w:tc>
          <w:tcPr>
            <w:tcW w:w="1425" w:type="dxa"/>
            <w:vAlign w:val="top"/>
          </w:tcPr>
          <w:p>
            <w:pPr>
              <w:pStyle w:val="7"/>
              <w:spacing w:before="180" w:line="182" w:lineRule="auto"/>
              <w:jc w:val="center"/>
            </w:pPr>
            <w:r>
              <w:rPr>
                <w:spacing w:val="-6"/>
              </w:rPr>
              <w:t>1.5%</w:t>
            </w:r>
          </w:p>
        </w:tc>
        <w:tc>
          <w:tcPr>
            <w:tcW w:w="1470" w:type="dxa"/>
            <w:vAlign w:val="top"/>
          </w:tcPr>
          <w:p>
            <w:pPr>
              <w:pStyle w:val="7"/>
              <w:spacing w:before="180" w:line="182" w:lineRule="auto"/>
              <w:jc w:val="center"/>
            </w:pPr>
            <w:r>
              <w:rPr>
                <w:spacing w:val="-6"/>
              </w:rPr>
              <w:t>1.0%</w:t>
            </w:r>
          </w:p>
        </w:tc>
        <w:tc>
          <w:tcPr>
            <w:tcW w:w="1980" w:type="dxa"/>
            <w:vMerge w:val="restart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418" w:type="dxa"/>
            <w:vAlign w:val="top"/>
          </w:tcPr>
          <w:p>
            <w:pPr>
              <w:spacing w:before="162" w:line="218" w:lineRule="auto"/>
              <w:ind w:left="3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100－500</w:t>
            </w:r>
          </w:p>
        </w:tc>
        <w:tc>
          <w:tcPr>
            <w:tcW w:w="1545" w:type="dxa"/>
            <w:vAlign w:val="top"/>
          </w:tcPr>
          <w:p>
            <w:pPr>
              <w:pStyle w:val="7"/>
              <w:spacing w:before="180" w:line="182" w:lineRule="auto"/>
              <w:jc w:val="center"/>
            </w:pPr>
            <w:r>
              <w:rPr>
                <w:spacing w:val="-6"/>
              </w:rPr>
              <w:t>1.1%</w:t>
            </w:r>
          </w:p>
        </w:tc>
        <w:tc>
          <w:tcPr>
            <w:tcW w:w="1425" w:type="dxa"/>
            <w:vAlign w:val="top"/>
          </w:tcPr>
          <w:p>
            <w:pPr>
              <w:pStyle w:val="7"/>
              <w:spacing w:before="180" w:line="182" w:lineRule="auto"/>
              <w:jc w:val="center"/>
            </w:pPr>
            <w:r>
              <w:rPr>
                <w:spacing w:val="-3"/>
              </w:rPr>
              <w:t>0.8%</w:t>
            </w:r>
          </w:p>
        </w:tc>
        <w:tc>
          <w:tcPr>
            <w:tcW w:w="1470" w:type="dxa"/>
            <w:vAlign w:val="top"/>
          </w:tcPr>
          <w:p>
            <w:pPr>
              <w:pStyle w:val="7"/>
              <w:spacing w:before="180" w:line="182" w:lineRule="auto"/>
              <w:jc w:val="center"/>
            </w:pPr>
            <w:r>
              <w:rPr>
                <w:spacing w:val="-3"/>
              </w:rPr>
              <w:t>0.7%</w:t>
            </w:r>
          </w:p>
        </w:tc>
        <w:tc>
          <w:tcPr>
            <w:tcW w:w="198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418" w:type="dxa"/>
            <w:vAlign w:val="top"/>
          </w:tcPr>
          <w:p>
            <w:pPr>
              <w:spacing w:before="162" w:line="220" w:lineRule="auto"/>
              <w:ind w:left="3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500－1000</w:t>
            </w:r>
          </w:p>
        </w:tc>
        <w:tc>
          <w:tcPr>
            <w:tcW w:w="1545" w:type="dxa"/>
            <w:vAlign w:val="top"/>
          </w:tcPr>
          <w:p>
            <w:pPr>
              <w:pStyle w:val="7"/>
              <w:spacing w:before="181" w:line="182" w:lineRule="auto"/>
              <w:jc w:val="center"/>
            </w:pPr>
            <w:r>
              <w:rPr>
                <w:spacing w:val="-3"/>
              </w:rPr>
              <w:t>0.8%</w:t>
            </w:r>
          </w:p>
        </w:tc>
        <w:tc>
          <w:tcPr>
            <w:tcW w:w="1425" w:type="dxa"/>
            <w:vAlign w:val="top"/>
          </w:tcPr>
          <w:p>
            <w:pPr>
              <w:pStyle w:val="7"/>
              <w:spacing w:before="181" w:line="182" w:lineRule="auto"/>
              <w:jc w:val="center"/>
            </w:pPr>
            <w:r>
              <w:rPr>
                <w:spacing w:val="-2"/>
              </w:rPr>
              <w:t>0.45%</w:t>
            </w:r>
          </w:p>
        </w:tc>
        <w:tc>
          <w:tcPr>
            <w:tcW w:w="1470" w:type="dxa"/>
            <w:vAlign w:val="top"/>
          </w:tcPr>
          <w:p>
            <w:pPr>
              <w:pStyle w:val="7"/>
              <w:spacing w:before="181" w:line="182" w:lineRule="auto"/>
              <w:jc w:val="center"/>
            </w:pPr>
            <w:r>
              <w:rPr>
                <w:spacing w:val="-2"/>
              </w:rPr>
              <w:t>0.55%</w:t>
            </w:r>
          </w:p>
        </w:tc>
        <w:tc>
          <w:tcPr>
            <w:tcW w:w="198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2418" w:type="dxa"/>
            <w:vAlign w:val="top"/>
          </w:tcPr>
          <w:p>
            <w:pPr>
              <w:spacing w:before="162" w:line="218" w:lineRule="auto"/>
              <w:ind w:left="3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1000－5000</w:t>
            </w:r>
          </w:p>
        </w:tc>
        <w:tc>
          <w:tcPr>
            <w:tcW w:w="1545" w:type="dxa"/>
            <w:vAlign w:val="top"/>
          </w:tcPr>
          <w:p>
            <w:pPr>
              <w:pStyle w:val="7"/>
              <w:spacing w:before="181" w:line="182" w:lineRule="auto"/>
              <w:jc w:val="center"/>
            </w:pPr>
            <w:r>
              <w:rPr>
                <w:spacing w:val="-3"/>
              </w:rPr>
              <w:t>0.5%</w:t>
            </w:r>
          </w:p>
        </w:tc>
        <w:tc>
          <w:tcPr>
            <w:tcW w:w="1425" w:type="dxa"/>
            <w:vAlign w:val="top"/>
          </w:tcPr>
          <w:p>
            <w:pPr>
              <w:pStyle w:val="7"/>
              <w:spacing w:before="181" w:line="182" w:lineRule="auto"/>
              <w:jc w:val="center"/>
            </w:pPr>
            <w:r>
              <w:rPr>
                <w:spacing w:val="-2"/>
              </w:rPr>
              <w:t>0.25%</w:t>
            </w:r>
          </w:p>
        </w:tc>
        <w:tc>
          <w:tcPr>
            <w:tcW w:w="1470" w:type="dxa"/>
            <w:vAlign w:val="top"/>
          </w:tcPr>
          <w:p>
            <w:pPr>
              <w:pStyle w:val="7"/>
              <w:spacing w:before="181" w:line="182" w:lineRule="auto"/>
              <w:jc w:val="center"/>
            </w:pPr>
            <w:r>
              <w:rPr>
                <w:spacing w:val="-2"/>
              </w:rPr>
              <w:t>0.35%</w:t>
            </w:r>
          </w:p>
        </w:tc>
        <w:tc>
          <w:tcPr>
            <w:tcW w:w="198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418" w:type="dxa"/>
            <w:vAlign w:val="top"/>
          </w:tcPr>
          <w:p>
            <w:pPr>
              <w:spacing w:before="163" w:line="219" w:lineRule="auto"/>
              <w:ind w:left="3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5000－10000</w:t>
            </w:r>
          </w:p>
        </w:tc>
        <w:tc>
          <w:tcPr>
            <w:tcW w:w="1545" w:type="dxa"/>
            <w:vAlign w:val="top"/>
          </w:tcPr>
          <w:p>
            <w:pPr>
              <w:pStyle w:val="7"/>
              <w:spacing w:before="182" w:line="182" w:lineRule="auto"/>
              <w:jc w:val="center"/>
            </w:pPr>
            <w:r>
              <w:rPr>
                <w:spacing w:val="-2"/>
              </w:rPr>
              <w:t>0.25%</w:t>
            </w:r>
          </w:p>
        </w:tc>
        <w:tc>
          <w:tcPr>
            <w:tcW w:w="1425" w:type="dxa"/>
            <w:vAlign w:val="top"/>
          </w:tcPr>
          <w:p>
            <w:pPr>
              <w:pStyle w:val="7"/>
              <w:spacing w:before="182" w:line="182" w:lineRule="auto"/>
              <w:jc w:val="center"/>
            </w:pPr>
            <w:r>
              <w:rPr>
                <w:spacing w:val="-3"/>
              </w:rPr>
              <w:t>0.1%</w:t>
            </w:r>
          </w:p>
        </w:tc>
        <w:tc>
          <w:tcPr>
            <w:tcW w:w="1470" w:type="dxa"/>
            <w:vAlign w:val="top"/>
          </w:tcPr>
          <w:p>
            <w:pPr>
              <w:pStyle w:val="7"/>
              <w:spacing w:before="182" w:line="182" w:lineRule="auto"/>
              <w:jc w:val="center"/>
            </w:pPr>
            <w:r>
              <w:rPr>
                <w:spacing w:val="-3"/>
              </w:rPr>
              <w:t>0.2%</w:t>
            </w:r>
          </w:p>
        </w:tc>
        <w:tc>
          <w:tcPr>
            <w:tcW w:w="198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2418" w:type="dxa"/>
            <w:vAlign w:val="top"/>
          </w:tcPr>
          <w:p>
            <w:pPr>
              <w:spacing w:before="164" w:line="217" w:lineRule="auto"/>
              <w:ind w:left="38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2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10000－50000</w:t>
            </w:r>
          </w:p>
        </w:tc>
        <w:tc>
          <w:tcPr>
            <w:tcW w:w="1545" w:type="dxa"/>
            <w:vAlign w:val="top"/>
          </w:tcPr>
          <w:p>
            <w:pPr>
              <w:pStyle w:val="7"/>
              <w:spacing w:before="182" w:line="182" w:lineRule="auto"/>
              <w:jc w:val="center"/>
            </w:pPr>
            <w:r>
              <w:rPr>
                <w:spacing w:val="-2"/>
              </w:rPr>
              <w:t>0.05%</w:t>
            </w:r>
          </w:p>
        </w:tc>
        <w:tc>
          <w:tcPr>
            <w:tcW w:w="1425" w:type="dxa"/>
            <w:vAlign w:val="top"/>
          </w:tcPr>
          <w:p>
            <w:pPr>
              <w:pStyle w:val="7"/>
              <w:spacing w:before="182" w:line="182" w:lineRule="auto"/>
              <w:jc w:val="center"/>
            </w:pPr>
            <w:r>
              <w:rPr>
                <w:spacing w:val="-2"/>
              </w:rPr>
              <w:t>0.05%</w:t>
            </w:r>
          </w:p>
        </w:tc>
        <w:tc>
          <w:tcPr>
            <w:tcW w:w="1470" w:type="dxa"/>
            <w:vAlign w:val="top"/>
          </w:tcPr>
          <w:p>
            <w:pPr>
              <w:pStyle w:val="7"/>
              <w:spacing w:before="182" w:line="182" w:lineRule="auto"/>
              <w:jc w:val="center"/>
            </w:pPr>
            <w:r>
              <w:rPr>
                <w:spacing w:val="-2"/>
              </w:rPr>
              <w:t>0.05%</w:t>
            </w:r>
          </w:p>
        </w:tc>
        <w:tc>
          <w:tcPr>
            <w:tcW w:w="198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418" w:type="dxa"/>
            <w:vAlign w:val="top"/>
          </w:tcPr>
          <w:p>
            <w:pPr>
              <w:spacing w:before="163" w:line="222" w:lineRule="auto"/>
              <w:ind w:left="3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"/>
                <w:sz w:val="28"/>
                <w:szCs w:val="28"/>
                <w14:textOutline w14:w="5094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50000－100000</w:t>
            </w:r>
          </w:p>
        </w:tc>
        <w:tc>
          <w:tcPr>
            <w:tcW w:w="1545" w:type="dxa"/>
            <w:vAlign w:val="top"/>
          </w:tcPr>
          <w:p>
            <w:pPr>
              <w:pStyle w:val="7"/>
              <w:spacing w:before="182" w:line="182" w:lineRule="auto"/>
              <w:jc w:val="center"/>
            </w:pPr>
            <w:r>
              <w:rPr>
                <w:spacing w:val="-2"/>
              </w:rPr>
              <w:t>0.035%</w:t>
            </w:r>
          </w:p>
        </w:tc>
        <w:tc>
          <w:tcPr>
            <w:tcW w:w="1425" w:type="dxa"/>
            <w:vAlign w:val="top"/>
          </w:tcPr>
          <w:p>
            <w:pPr>
              <w:pStyle w:val="7"/>
              <w:spacing w:before="182" w:line="182" w:lineRule="auto"/>
              <w:jc w:val="center"/>
            </w:pPr>
            <w:r>
              <w:rPr>
                <w:spacing w:val="-2"/>
              </w:rPr>
              <w:t>0.035%</w:t>
            </w:r>
          </w:p>
        </w:tc>
        <w:tc>
          <w:tcPr>
            <w:tcW w:w="1470" w:type="dxa"/>
            <w:vAlign w:val="top"/>
          </w:tcPr>
          <w:p>
            <w:pPr>
              <w:pStyle w:val="7"/>
              <w:spacing w:before="182" w:line="182" w:lineRule="auto"/>
              <w:jc w:val="center"/>
            </w:pPr>
            <w:r>
              <w:rPr>
                <w:spacing w:val="-2"/>
              </w:rPr>
              <w:t>0.035%</w:t>
            </w:r>
          </w:p>
        </w:tc>
        <w:tc>
          <w:tcPr>
            <w:tcW w:w="198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248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  <w:bookmarkStart w:id="0" w:name="_GoBack"/>
      <w:bookmarkEnd w:id="0"/>
    </w:p>
    <w:p>
      <w:pPr>
        <w:pStyle w:val="2"/>
        <w:spacing w:line="249" w:lineRule="auto"/>
      </w:pPr>
    </w:p>
    <w:p>
      <w:pPr>
        <w:spacing w:before="91" w:line="217" w:lineRule="auto"/>
        <w:ind w:left="76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响应人名称（公章</w:t>
      </w:r>
      <w:r>
        <w:rPr>
          <w:rFonts w:ascii="仿宋" w:hAnsi="仿宋" w:eastAsia="仿宋" w:cs="仿宋"/>
          <w:spacing w:val="-14"/>
          <w:sz w:val="28"/>
          <w:szCs w:val="28"/>
        </w:rPr>
        <w:t>）：</w:t>
      </w:r>
    </w:p>
    <w:p>
      <w:pPr>
        <w:pStyle w:val="2"/>
        <w:spacing w:line="301" w:lineRule="auto"/>
      </w:pPr>
    </w:p>
    <w:p>
      <w:pPr>
        <w:spacing w:before="92" w:line="219" w:lineRule="auto"/>
        <w:ind w:left="76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7"/>
          <w:sz w:val="28"/>
          <w:szCs w:val="28"/>
        </w:rPr>
        <w:t>法定代表人（或授权代表）签字：</w:t>
      </w:r>
    </w:p>
    <w:p>
      <w:pPr>
        <w:pStyle w:val="2"/>
        <w:spacing w:line="302" w:lineRule="auto"/>
      </w:pPr>
    </w:p>
    <w:p>
      <w:pPr>
        <w:spacing w:before="92" w:line="219" w:lineRule="auto"/>
        <w:ind w:left="81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8"/>
          <w:sz w:val="28"/>
          <w:szCs w:val="28"/>
        </w:rPr>
        <w:t>日期：        年</w:t>
      </w:r>
      <w:r>
        <w:rPr>
          <w:rFonts w:ascii="仿宋" w:hAnsi="仿宋" w:eastAsia="仿宋" w:cs="仿宋"/>
          <w:spacing w:val="11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28"/>
          <w:sz w:val="28"/>
          <w:szCs w:val="28"/>
        </w:rPr>
        <w:t>月</w:t>
      </w:r>
      <w:r>
        <w:rPr>
          <w:rFonts w:ascii="仿宋" w:hAnsi="仿宋" w:eastAsia="仿宋" w:cs="仿宋"/>
          <w:spacing w:val="26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28"/>
          <w:sz w:val="28"/>
          <w:szCs w:val="28"/>
        </w:rPr>
        <w:t>日</w:t>
      </w:r>
    </w:p>
    <w:p>
      <w:pPr>
        <w:spacing w:before="63" w:line="224" w:lineRule="auto"/>
        <w:rPr>
          <w:rFonts w:ascii="黑体" w:hAnsi="黑体" w:eastAsia="黑体" w:cs="黑体"/>
          <w:sz w:val="31"/>
          <w:szCs w:val="31"/>
        </w:rPr>
      </w:pPr>
    </w:p>
    <w:sectPr>
      <w:footerReference r:id="rId5" w:type="default"/>
      <w:pgSz w:w="11907" w:h="16839"/>
      <w:pgMar w:top="1304" w:right="1531" w:bottom="1304" w:left="1531" w:header="0" w:footer="119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66" w:lineRule="auto"/>
      <w:ind w:left="4281"/>
      <w:rPr>
        <w:rFonts w:ascii="微软雅黑" w:hAnsi="微软雅黑" w:eastAsia="微软雅黑" w:cs="微软雅黑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2NhZGYwZjBiMTk2N2VhZWE3YWVlMjRjMmZmNzRlOTEifQ=="/>
  </w:docVars>
  <w:rsids>
    <w:rsidRoot w:val="00000000"/>
    <w:rsid w:val="41C52078"/>
    <w:rsid w:val="4B7444AC"/>
    <w:rsid w:val="53C10C14"/>
    <w:rsid w:val="5E046F65"/>
    <w:rsid w:val="5E1973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1"/>
    <customShpInfo spid="_x0000_s1032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